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7FB04" w14:textId="77777777" w:rsidR="008E0D9C" w:rsidRPr="0003519F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03519F">
        <w:rPr>
          <w:rFonts w:ascii="方正小标宋简体" w:eastAsia="方正小标宋简体" w:hAnsi="方正小标宋简体" w:cs="方正小标宋简体" w:hint="eastAsia"/>
          <w:sz w:val="36"/>
          <w:szCs w:val="36"/>
        </w:rPr>
        <w:t>福州名城保护开发有限公司</w:t>
      </w:r>
    </w:p>
    <w:p w14:paraId="00D5EBD4" w14:textId="77777777" w:rsidR="008E0D9C" w:rsidRPr="0003519F" w:rsidRDefault="00000000">
      <w:pPr>
        <w:widowControl/>
        <w:jc w:val="center"/>
        <w:textAlignment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03519F">
        <w:rPr>
          <w:rFonts w:ascii="方正小标宋简体" w:eastAsia="方正小标宋简体" w:hAnsi="方正小标宋简体" w:cs="方正小标宋简体" w:hint="eastAsia"/>
          <w:sz w:val="36"/>
          <w:szCs w:val="36"/>
        </w:rPr>
        <w:t>“闽式生活指南”营销推广服务项目评分表</w:t>
      </w:r>
    </w:p>
    <w:p w14:paraId="53B6E4FC" w14:textId="77777777" w:rsidR="008E0D9C" w:rsidRPr="0003519F" w:rsidRDefault="008E0D9C">
      <w:pPr>
        <w:widowControl/>
        <w:jc w:val="center"/>
        <w:textAlignment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1168"/>
        <w:gridCol w:w="5963"/>
        <w:gridCol w:w="718"/>
      </w:tblGrid>
      <w:tr w:rsidR="008E0D9C" w:rsidRPr="0003519F" w14:paraId="33C69FA0" w14:textId="77777777">
        <w:trPr>
          <w:trHeight w:val="312"/>
          <w:jc w:val="center"/>
        </w:trPr>
        <w:tc>
          <w:tcPr>
            <w:tcW w:w="268" w:type="pct"/>
            <w:vMerge w:val="restart"/>
            <w:vAlign w:val="center"/>
          </w:tcPr>
          <w:p w14:paraId="4BAC5541" w14:textId="77777777" w:rsidR="008E0D9C" w:rsidRPr="0003519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0"/>
                <w:szCs w:val="20"/>
              </w:rPr>
            </w:pPr>
            <w:r w:rsidRPr="0003519F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04" w:type="pct"/>
            <w:vMerge w:val="restart"/>
            <w:vAlign w:val="center"/>
          </w:tcPr>
          <w:p w14:paraId="2D7C7555" w14:textId="77777777" w:rsidR="008E0D9C" w:rsidRPr="0003519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0"/>
                <w:szCs w:val="20"/>
              </w:rPr>
            </w:pPr>
            <w:r w:rsidRPr="0003519F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评分内容</w:t>
            </w:r>
          </w:p>
        </w:tc>
        <w:tc>
          <w:tcPr>
            <w:tcW w:w="3595" w:type="pct"/>
            <w:vMerge w:val="restart"/>
            <w:vAlign w:val="center"/>
          </w:tcPr>
          <w:p w14:paraId="7DBF7F36" w14:textId="77777777" w:rsidR="008E0D9C" w:rsidRPr="0003519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0"/>
                <w:szCs w:val="20"/>
              </w:rPr>
            </w:pPr>
            <w:r w:rsidRPr="0003519F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详细说明</w:t>
            </w:r>
          </w:p>
        </w:tc>
        <w:tc>
          <w:tcPr>
            <w:tcW w:w="433" w:type="pct"/>
            <w:vMerge w:val="restart"/>
            <w:vAlign w:val="center"/>
          </w:tcPr>
          <w:p w14:paraId="4635CE1F" w14:textId="77777777" w:rsidR="008E0D9C" w:rsidRPr="0003519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0"/>
                <w:szCs w:val="20"/>
              </w:rPr>
            </w:pPr>
            <w:r w:rsidRPr="0003519F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分值</w:t>
            </w:r>
          </w:p>
        </w:tc>
      </w:tr>
      <w:tr w:rsidR="008E0D9C" w:rsidRPr="0003519F" w14:paraId="1815EF55" w14:textId="77777777">
        <w:trPr>
          <w:trHeight w:val="312"/>
          <w:jc w:val="center"/>
        </w:trPr>
        <w:tc>
          <w:tcPr>
            <w:tcW w:w="268" w:type="pct"/>
            <w:vMerge/>
            <w:vAlign w:val="center"/>
          </w:tcPr>
          <w:p w14:paraId="42A789EA" w14:textId="77777777" w:rsidR="008E0D9C" w:rsidRPr="0003519F" w:rsidRDefault="008E0D9C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vMerge/>
            <w:vAlign w:val="center"/>
          </w:tcPr>
          <w:p w14:paraId="61B1B71B" w14:textId="77777777" w:rsidR="008E0D9C" w:rsidRPr="0003519F" w:rsidRDefault="008E0D9C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95" w:type="pct"/>
            <w:vMerge/>
            <w:vAlign w:val="center"/>
          </w:tcPr>
          <w:p w14:paraId="165F446D" w14:textId="77777777" w:rsidR="008E0D9C" w:rsidRPr="0003519F" w:rsidRDefault="008E0D9C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" w:type="pct"/>
            <w:vMerge/>
            <w:vAlign w:val="center"/>
          </w:tcPr>
          <w:p w14:paraId="3CBD6539" w14:textId="77777777" w:rsidR="008E0D9C" w:rsidRPr="0003519F" w:rsidRDefault="008E0D9C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E0D9C" w:rsidRPr="0003519F" w14:paraId="36F8DCE2" w14:textId="77777777">
        <w:trPr>
          <w:jc w:val="center"/>
        </w:trPr>
        <w:tc>
          <w:tcPr>
            <w:tcW w:w="268" w:type="pct"/>
            <w:vAlign w:val="center"/>
          </w:tcPr>
          <w:p w14:paraId="4D895F7A" w14:textId="77777777" w:rsidR="008E0D9C" w:rsidRPr="0003519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3519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04" w:type="pct"/>
            <w:vAlign w:val="center"/>
          </w:tcPr>
          <w:p w14:paraId="3981D0C6" w14:textId="77777777" w:rsidR="008E0D9C" w:rsidRPr="0003519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3519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项目报价</w:t>
            </w:r>
          </w:p>
        </w:tc>
        <w:tc>
          <w:tcPr>
            <w:tcW w:w="3595" w:type="pct"/>
            <w:vAlign w:val="center"/>
          </w:tcPr>
          <w:p w14:paraId="003D6B1D" w14:textId="77777777" w:rsidR="008E0D9C" w:rsidRPr="0003519F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3519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满足招标文件要求</w:t>
            </w:r>
            <w:r w:rsidRPr="0003519F"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  <w:t>，</w:t>
            </w:r>
            <w:r w:rsidRPr="0003519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且投标价格最低的得满分。其他投标方按价格从低到高排序，每次递减2分，依次类推，最后一名得2分。</w:t>
            </w:r>
          </w:p>
        </w:tc>
        <w:tc>
          <w:tcPr>
            <w:tcW w:w="433" w:type="pct"/>
            <w:vAlign w:val="center"/>
          </w:tcPr>
          <w:p w14:paraId="7C5C4BB1" w14:textId="77777777" w:rsidR="008E0D9C" w:rsidRPr="0003519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3519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8E0D9C" w:rsidRPr="0003519F" w14:paraId="3DEFFD85" w14:textId="77777777">
        <w:trPr>
          <w:jc w:val="center"/>
        </w:trPr>
        <w:tc>
          <w:tcPr>
            <w:tcW w:w="268" w:type="pct"/>
            <w:vAlign w:val="center"/>
          </w:tcPr>
          <w:p w14:paraId="6BFBA56D" w14:textId="77777777" w:rsidR="008E0D9C" w:rsidRPr="0003519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03519F"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04" w:type="pct"/>
            <w:vAlign w:val="center"/>
          </w:tcPr>
          <w:p w14:paraId="5166000C" w14:textId="77777777" w:rsidR="008E0D9C" w:rsidRPr="0003519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03519F"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  <w:t>茉莉福卡分润</w:t>
            </w:r>
            <w:proofErr w:type="gramEnd"/>
            <w:r w:rsidRPr="0003519F"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  <w:t>比例</w:t>
            </w:r>
          </w:p>
        </w:tc>
        <w:tc>
          <w:tcPr>
            <w:tcW w:w="3595" w:type="pct"/>
            <w:vAlign w:val="center"/>
          </w:tcPr>
          <w:p w14:paraId="671069E2" w14:textId="77777777" w:rsidR="008E0D9C" w:rsidRPr="0003519F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03519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满足招标文件要求</w:t>
            </w:r>
            <w:r w:rsidRPr="0003519F"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  <w:t>，</w:t>
            </w:r>
            <w:r w:rsidRPr="0003519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且</w:t>
            </w:r>
            <w:r w:rsidRPr="0003519F"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  <w:t>分润比例最低的得满分。</w:t>
            </w:r>
            <w:r w:rsidRPr="0003519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其他投标方按</w:t>
            </w:r>
            <w:r w:rsidRPr="0003519F"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  <w:t>分润比例</w:t>
            </w:r>
            <w:r w:rsidRPr="0003519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从低到高排序，每次递减2分，依次类推，最后一名得2分。</w:t>
            </w:r>
          </w:p>
        </w:tc>
        <w:tc>
          <w:tcPr>
            <w:tcW w:w="433" w:type="pct"/>
            <w:vAlign w:val="center"/>
          </w:tcPr>
          <w:p w14:paraId="3340904B" w14:textId="77777777" w:rsidR="008E0D9C" w:rsidRPr="0003519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03519F"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8E0D9C" w:rsidRPr="0003519F" w14:paraId="5F20C46B" w14:textId="77777777">
        <w:trPr>
          <w:jc w:val="center"/>
        </w:trPr>
        <w:tc>
          <w:tcPr>
            <w:tcW w:w="268" w:type="pct"/>
            <w:vAlign w:val="center"/>
          </w:tcPr>
          <w:p w14:paraId="1A1E7D71" w14:textId="77777777" w:rsidR="008E0D9C" w:rsidRPr="0003519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03519F"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04" w:type="pct"/>
            <w:vAlign w:val="center"/>
          </w:tcPr>
          <w:p w14:paraId="59BFC448" w14:textId="77777777" w:rsidR="008E0D9C" w:rsidRPr="0003519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03519F"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  <w:t>品牌专项</w:t>
            </w:r>
            <w:proofErr w:type="gramEnd"/>
            <w:r w:rsidRPr="0003519F"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  <w:t>营销业务分润比例</w:t>
            </w:r>
          </w:p>
        </w:tc>
        <w:tc>
          <w:tcPr>
            <w:tcW w:w="3595" w:type="pct"/>
            <w:vAlign w:val="center"/>
          </w:tcPr>
          <w:p w14:paraId="5B1DE374" w14:textId="77777777" w:rsidR="008E0D9C" w:rsidRPr="0003519F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03519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满足招标文件要求</w:t>
            </w:r>
            <w:r w:rsidRPr="0003519F"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  <w:t>，</w:t>
            </w:r>
            <w:r w:rsidRPr="0003519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且</w:t>
            </w:r>
            <w:r w:rsidRPr="0003519F"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  <w:t>分润比例最低的得满分。</w:t>
            </w:r>
            <w:r w:rsidRPr="0003519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其他投标方按</w:t>
            </w:r>
            <w:r w:rsidRPr="0003519F"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  <w:t>分润比例</w:t>
            </w:r>
            <w:r w:rsidRPr="0003519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从低到高排序，每次递减2分，依次类推，最后一名得2分。</w:t>
            </w:r>
          </w:p>
        </w:tc>
        <w:tc>
          <w:tcPr>
            <w:tcW w:w="433" w:type="pct"/>
            <w:vAlign w:val="center"/>
          </w:tcPr>
          <w:p w14:paraId="604B86F7" w14:textId="77777777" w:rsidR="008E0D9C" w:rsidRPr="0003519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03519F"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</w:tr>
      <w:tr w:rsidR="008E0D9C" w:rsidRPr="0003519F" w14:paraId="5CB20CC6" w14:textId="77777777">
        <w:trPr>
          <w:jc w:val="center"/>
        </w:trPr>
        <w:tc>
          <w:tcPr>
            <w:tcW w:w="268" w:type="pct"/>
            <w:vAlign w:val="center"/>
          </w:tcPr>
          <w:p w14:paraId="0C70C012" w14:textId="77777777" w:rsidR="008E0D9C" w:rsidRPr="0003519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4" w:type="pct"/>
            <w:vAlign w:val="center"/>
          </w:tcPr>
          <w:p w14:paraId="5C852138" w14:textId="77777777" w:rsidR="008E0D9C" w:rsidRPr="0003519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达人资源配置</w:t>
            </w:r>
          </w:p>
        </w:tc>
        <w:tc>
          <w:tcPr>
            <w:tcW w:w="3595" w:type="pct"/>
            <w:vAlign w:val="center"/>
          </w:tcPr>
          <w:p w14:paraId="7A584166" w14:textId="77777777" w:rsidR="008E0D9C" w:rsidRPr="0003519F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供应商需提供合作期间</w:t>
            </w:r>
            <w:proofErr w:type="gramStart"/>
            <w:r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茉莉福卡营销</w:t>
            </w:r>
            <w:proofErr w:type="gramEnd"/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推广中</w:t>
            </w:r>
            <w:proofErr w:type="gramStart"/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的</w:t>
            </w:r>
            <w:r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抖音达人</w:t>
            </w:r>
            <w:proofErr w:type="gramEnd"/>
            <w:r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可使用名单以及对应承诺函，合作期间</w:t>
            </w:r>
            <w:proofErr w:type="gramStart"/>
            <w:r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抖音团</w:t>
            </w:r>
            <w:proofErr w:type="gramEnd"/>
            <w:r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购LV6达人可使用数量</w:t>
            </w: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≥</w:t>
            </w:r>
            <w:r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15个、团购LV5达人可使用数量</w:t>
            </w: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≥</w:t>
            </w:r>
            <w:r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32个</w:t>
            </w:r>
            <w:proofErr w:type="gramStart"/>
            <w:r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得满</w:t>
            </w: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份</w:t>
            </w:r>
            <w:r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15分</w:t>
            </w:r>
            <w:proofErr w:type="gramEnd"/>
            <w:r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，其他供应商的分数按合作</w:t>
            </w:r>
            <w:proofErr w:type="gramStart"/>
            <w:r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期间团购类抖音</w:t>
            </w:r>
            <w:proofErr w:type="gramEnd"/>
            <w:r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达人可使用数量从多到少排序，每次递减5分，依次类推。</w:t>
            </w:r>
            <w:proofErr w:type="gramStart"/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提供抖音达人</w:t>
            </w:r>
            <w:proofErr w:type="gramEnd"/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可使用名单及承诺函的，最低得5分，</w:t>
            </w:r>
            <w:r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未提供可使用名单以及承诺函的不得分。</w:t>
            </w:r>
          </w:p>
        </w:tc>
        <w:tc>
          <w:tcPr>
            <w:tcW w:w="433" w:type="pct"/>
            <w:vAlign w:val="center"/>
          </w:tcPr>
          <w:p w14:paraId="26D1E104" w14:textId="77777777" w:rsidR="008E0D9C" w:rsidRPr="0003519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03519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</w:tr>
      <w:tr w:rsidR="008E0D9C" w:rsidRPr="0003519F" w14:paraId="66B0A37B" w14:textId="77777777">
        <w:trPr>
          <w:jc w:val="center"/>
        </w:trPr>
        <w:tc>
          <w:tcPr>
            <w:tcW w:w="268" w:type="pct"/>
            <w:vAlign w:val="center"/>
          </w:tcPr>
          <w:p w14:paraId="7BBCD037" w14:textId="77777777" w:rsidR="008E0D9C" w:rsidRPr="0003519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4" w:type="pct"/>
            <w:vAlign w:val="center"/>
          </w:tcPr>
          <w:p w14:paraId="7115FF0A" w14:textId="77777777" w:rsidR="008E0D9C" w:rsidRPr="0003519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proofErr w:type="gramStart"/>
            <w:r w:rsidRPr="0003519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抖音账号</w:t>
            </w:r>
            <w:proofErr w:type="gramEnd"/>
            <w:r w:rsidRPr="0003519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直播案例</w:t>
            </w:r>
          </w:p>
        </w:tc>
        <w:tc>
          <w:tcPr>
            <w:tcW w:w="3595" w:type="pct"/>
            <w:vAlign w:val="center"/>
          </w:tcPr>
          <w:p w14:paraId="3C248AF2" w14:textId="03615B9C" w:rsidR="008E0D9C" w:rsidRPr="0003519F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供应商所提供的直播案例中是否符合以下条件：①单场直播成交金额≥10万；②包含实景直播的案例；③单场直播时长≥8小时；④单场直播观看人数≥5000人。四方面内容，</w:t>
            </w:r>
            <w:r w:rsidR="00510B1C"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供应商所提供的一个或者多个案例中，</w:t>
            </w: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符合一个条件得5分，满分20分。未提供不得分。</w:t>
            </w:r>
          </w:p>
        </w:tc>
        <w:tc>
          <w:tcPr>
            <w:tcW w:w="433" w:type="pct"/>
            <w:vAlign w:val="center"/>
          </w:tcPr>
          <w:p w14:paraId="005E0C75" w14:textId="77777777" w:rsidR="008E0D9C" w:rsidRPr="0003519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20</w:t>
            </w:r>
          </w:p>
        </w:tc>
      </w:tr>
      <w:tr w:rsidR="008E0D9C" w:rsidRPr="0003519F" w14:paraId="7DF29D93" w14:textId="77777777">
        <w:trPr>
          <w:trHeight w:val="90"/>
          <w:jc w:val="center"/>
        </w:trPr>
        <w:tc>
          <w:tcPr>
            <w:tcW w:w="268" w:type="pct"/>
            <w:vAlign w:val="center"/>
          </w:tcPr>
          <w:p w14:paraId="0A3D5635" w14:textId="77777777" w:rsidR="008E0D9C" w:rsidRPr="0003519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4" w:type="pct"/>
            <w:vAlign w:val="center"/>
          </w:tcPr>
          <w:p w14:paraId="6D93D662" w14:textId="77777777" w:rsidR="008E0D9C" w:rsidRPr="0003519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proofErr w:type="gramStart"/>
            <w:r w:rsidRPr="0003519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品牌专项</w:t>
            </w:r>
            <w:proofErr w:type="gramEnd"/>
            <w:r w:rsidRPr="0003519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营销方案</w:t>
            </w:r>
          </w:p>
        </w:tc>
        <w:tc>
          <w:tcPr>
            <w:tcW w:w="3595" w:type="pct"/>
            <w:vAlign w:val="center"/>
          </w:tcPr>
          <w:p w14:paraId="59520762" w14:textId="77777777" w:rsidR="008E0D9C" w:rsidRPr="0003519F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供应商需基于“闽式生活指南”IP,设计IP面向市场售卖的</w:t>
            </w:r>
            <w:r w:rsidRPr="0003519F">
              <w:rPr>
                <w:rFonts w:ascii="Calibri" w:eastAsia="仿宋" w:hAnsi="Calibri" w:cs="Calibri"/>
                <w:color w:val="000000"/>
                <w:sz w:val="18"/>
                <w:szCs w:val="18"/>
              </w:rPr>
              <w:t> </w:t>
            </w: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“</w:t>
            </w:r>
            <w:r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闽式生活指南营销服务包”专项方案。</w:t>
            </w: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评分将从以下三方面进行考察，每符合一项得5分，满分15分</w:t>
            </w:r>
            <w:r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，未提供不得分</w:t>
            </w: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。</w:t>
            </w:r>
          </w:p>
          <w:p w14:paraId="54C2B595" w14:textId="5440DA9B" w:rsidR="008E0D9C" w:rsidRPr="0003519F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①方案完整性：</w:t>
            </w: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是否</w:t>
            </w:r>
            <w:r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明确列出服务包内所包含的具体服务项目清单（</w:t>
            </w: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包含三项及以上的具体服务项目、提供明确权益清单，提供</w:t>
            </w:r>
            <w:r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具体定价方案）</w:t>
            </w: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。</w:t>
            </w:r>
            <w:r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②市场吸引力：服务</w:t>
            </w:r>
            <w:proofErr w:type="gramStart"/>
            <w:r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包设计</w:t>
            </w:r>
            <w:proofErr w:type="gramEnd"/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是否融合</w:t>
            </w:r>
            <w:r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 xml:space="preserve"> “闽式生活指南”IP特色</w:t>
            </w: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，是否指出面向核心客户类型，是否阐述带来的核心量化价值或独特优势</w:t>
            </w:r>
            <w:r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。</w:t>
            </w: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③</w:t>
            </w:r>
            <w:r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方案可行性：</w:t>
            </w:r>
            <w:r w:rsidR="0043688D"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是否具备市场与竞争分析</w:t>
            </w:r>
            <w:r w:rsidR="0043350F"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及舆情应对方案</w:t>
            </w:r>
            <w:r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433" w:type="pct"/>
            <w:vAlign w:val="center"/>
          </w:tcPr>
          <w:p w14:paraId="60E7DCC4" w14:textId="77777777" w:rsidR="008E0D9C" w:rsidRPr="0003519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15</w:t>
            </w:r>
          </w:p>
        </w:tc>
      </w:tr>
      <w:tr w:rsidR="008E0D9C" w:rsidRPr="0003519F" w14:paraId="78887E34" w14:textId="77777777">
        <w:trPr>
          <w:jc w:val="center"/>
        </w:trPr>
        <w:tc>
          <w:tcPr>
            <w:tcW w:w="268" w:type="pct"/>
            <w:vAlign w:val="center"/>
          </w:tcPr>
          <w:p w14:paraId="551A157B" w14:textId="77777777" w:rsidR="008E0D9C" w:rsidRPr="0003519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4" w:type="pct"/>
            <w:vAlign w:val="center"/>
          </w:tcPr>
          <w:p w14:paraId="7F7509DC" w14:textId="77777777" w:rsidR="008E0D9C" w:rsidRPr="0003519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proofErr w:type="gramStart"/>
            <w:r w:rsidRPr="0003519F"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  <w:lang w:bidi="ar"/>
              </w:rPr>
              <w:t>茉莉福卡</w:t>
            </w:r>
            <w:r w:rsidRPr="0003519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营销</w:t>
            </w:r>
            <w:proofErr w:type="gramEnd"/>
            <w:r w:rsidRPr="0003519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方案</w:t>
            </w:r>
          </w:p>
        </w:tc>
        <w:tc>
          <w:tcPr>
            <w:tcW w:w="3595" w:type="pct"/>
            <w:vAlign w:val="center"/>
          </w:tcPr>
          <w:p w14:paraId="4793AC09" w14:textId="77777777" w:rsidR="008E0D9C" w:rsidRPr="0003519F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供应商需围绕“茉莉福卡”设计专项营销方案，方案应包含但不限于推广策略、销售渠道、用户</w:t>
            </w:r>
            <w:r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运营</w:t>
            </w: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、数据追踪与效果评估等。评分将从以下三方面进行考察，每符合一项得5分，满分15分。未提供方案不得分。</w:t>
            </w:r>
          </w:p>
          <w:p w14:paraId="5CDA468F" w14:textId="224CC4DB" w:rsidR="008E0D9C" w:rsidRPr="0003519F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① 推广渠道多样性：方案中涵盖</w:t>
            </w:r>
            <w:r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线</w:t>
            </w:r>
            <w:proofErr w:type="gramStart"/>
            <w:r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上渠道</w:t>
            </w:r>
            <w:proofErr w:type="gramEnd"/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和</w:t>
            </w:r>
            <w:r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线下渠道</w:t>
            </w: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推广规划、渠道是否具有互补性。② 用户激活与留存策略：方案中是否设计用户购买引导、购买激励机制。③ 营销活动创意与可行性：</w:t>
            </w:r>
            <w:r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活动核心创意</w:t>
            </w: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是否</w:t>
            </w:r>
            <w:r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与“茉莉福卡”的产品特点</w:t>
            </w:r>
            <w:r w:rsidR="0063074C"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相</w:t>
            </w: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关联</w:t>
            </w:r>
            <w:r w:rsidR="00111850"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，</w:t>
            </w:r>
            <w:r w:rsidR="0043350F"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是否具备市场与竞争分析</w:t>
            </w:r>
            <w:r w:rsidR="0043350F"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及舆情应对方案</w:t>
            </w: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433" w:type="pct"/>
            <w:vAlign w:val="center"/>
          </w:tcPr>
          <w:p w14:paraId="480C5E9C" w14:textId="77777777" w:rsidR="008E0D9C" w:rsidRPr="0003519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15</w:t>
            </w:r>
          </w:p>
        </w:tc>
      </w:tr>
      <w:tr w:rsidR="008E0D9C" w:rsidRPr="0003519F" w14:paraId="690263A5" w14:textId="77777777">
        <w:trPr>
          <w:jc w:val="center"/>
        </w:trPr>
        <w:tc>
          <w:tcPr>
            <w:tcW w:w="268" w:type="pct"/>
            <w:vAlign w:val="center"/>
          </w:tcPr>
          <w:p w14:paraId="658863F3" w14:textId="77777777" w:rsidR="008E0D9C" w:rsidRPr="0003519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4" w:type="pct"/>
            <w:vAlign w:val="center"/>
          </w:tcPr>
          <w:p w14:paraId="54A809F4" w14:textId="77777777" w:rsidR="008E0D9C" w:rsidRPr="0003519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团队架构</w:t>
            </w:r>
          </w:p>
        </w:tc>
        <w:tc>
          <w:tcPr>
            <w:tcW w:w="3595" w:type="pct"/>
            <w:vAlign w:val="center"/>
          </w:tcPr>
          <w:p w14:paraId="7E3674EB" w14:textId="4911E2BE" w:rsidR="008E0D9C" w:rsidRPr="0003519F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供应商团队中应有清晰的分工及架构，需要包含项目主负责人，主要执行部门</w:t>
            </w:r>
            <w:r w:rsidRPr="0003519F">
              <w:rPr>
                <w:rFonts w:ascii="仿宋" w:eastAsia="仿宋" w:hAnsi="仿宋" w:cs="仿宋"/>
                <w:color w:val="000000"/>
                <w:sz w:val="18"/>
                <w:szCs w:val="18"/>
              </w:rPr>
              <w:t>。</w:t>
            </w: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方案中供应</w:t>
            </w:r>
            <w:proofErr w:type="gramStart"/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商团队分工</w:t>
            </w:r>
            <w:proofErr w:type="gramEnd"/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清晰、负责</w:t>
            </w:r>
            <w:proofErr w:type="gramStart"/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版块</w:t>
            </w:r>
            <w:proofErr w:type="gramEnd"/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明确得</w:t>
            </w:r>
            <w:r w:rsidR="009A5E40"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5</w:t>
            </w: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分；供应</w:t>
            </w:r>
            <w:proofErr w:type="gramStart"/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商团队分工较</w:t>
            </w:r>
            <w:proofErr w:type="gramEnd"/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清晰、负责</w:t>
            </w:r>
            <w:proofErr w:type="gramStart"/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版块</w:t>
            </w:r>
            <w:proofErr w:type="gramEnd"/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较明确得</w:t>
            </w:r>
            <w:r w:rsidR="009A5E40"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3</w:t>
            </w: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分；供应</w:t>
            </w:r>
            <w:proofErr w:type="gramStart"/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商团队分工</w:t>
            </w:r>
            <w:proofErr w:type="gramEnd"/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模糊、负责</w:t>
            </w:r>
            <w:proofErr w:type="gramStart"/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版块</w:t>
            </w:r>
            <w:proofErr w:type="gramEnd"/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混杂不得分。</w:t>
            </w:r>
          </w:p>
        </w:tc>
        <w:tc>
          <w:tcPr>
            <w:tcW w:w="433" w:type="pct"/>
            <w:vAlign w:val="center"/>
          </w:tcPr>
          <w:p w14:paraId="7B2EF9B5" w14:textId="77777777" w:rsidR="008E0D9C" w:rsidRPr="0003519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3519F"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5</w:t>
            </w:r>
          </w:p>
        </w:tc>
      </w:tr>
      <w:tr w:rsidR="008E0D9C" w14:paraId="6E0FB97F" w14:textId="77777777">
        <w:trPr>
          <w:jc w:val="center"/>
        </w:trPr>
        <w:tc>
          <w:tcPr>
            <w:tcW w:w="4567" w:type="pct"/>
            <w:gridSpan w:val="3"/>
            <w:vAlign w:val="center"/>
          </w:tcPr>
          <w:p w14:paraId="13ED4BFB" w14:textId="77777777" w:rsidR="008E0D9C" w:rsidRPr="0003519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3519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总计</w:t>
            </w:r>
          </w:p>
        </w:tc>
        <w:tc>
          <w:tcPr>
            <w:tcW w:w="433" w:type="pct"/>
            <w:vAlign w:val="center"/>
          </w:tcPr>
          <w:p w14:paraId="74EC92C0" w14:textId="77777777" w:rsidR="008E0D9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 w:rsidRPr="0003519F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</w:tr>
    </w:tbl>
    <w:p w14:paraId="70B0FFA6" w14:textId="77777777" w:rsidR="008E0D9C" w:rsidRDefault="008E0D9C"/>
    <w:sectPr w:rsidR="008E0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3CA13" w14:textId="77777777" w:rsidR="00C72C49" w:rsidRDefault="00C72C49" w:rsidP="00510B1C">
      <w:r>
        <w:separator/>
      </w:r>
    </w:p>
  </w:endnote>
  <w:endnote w:type="continuationSeparator" w:id="0">
    <w:p w14:paraId="452E92E4" w14:textId="77777777" w:rsidR="00C72C49" w:rsidRDefault="00C72C49" w:rsidP="00510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DD68DD36-A9C2-4447-A7E8-950224DCFA60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940EAE9-7466-4D59-8C68-69D8AB9F3DF2}"/>
    <w:embedBold r:id="rId3" w:subsetted="1" w:fontKey="{3B2A133E-35C5-4FC0-9054-A6A55A5D223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A94CF" w14:textId="77777777" w:rsidR="00C72C49" w:rsidRDefault="00C72C49" w:rsidP="00510B1C">
      <w:r>
        <w:separator/>
      </w:r>
    </w:p>
  </w:footnote>
  <w:footnote w:type="continuationSeparator" w:id="0">
    <w:p w14:paraId="342F65FE" w14:textId="77777777" w:rsidR="00C72C49" w:rsidRDefault="00C72C49" w:rsidP="00510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0236AF"/>
    <w:rsid w:val="0003519F"/>
    <w:rsid w:val="00101CBD"/>
    <w:rsid w:val="00111850"/>
    <w:rsid w:val="00122F80"/>
    <w:rsid w:val="0017366B"/>
    <w:rsid w:val="001A2EBD"/>
    <w:rsid w:val="0020497B"/>
    <w:rsid w:val="0023530E"/>
    <w:rsid w:val="00240641"/>
    <w:rsid w:val="002E459F"/>
    <w:rsid w:val="00307B60"/>
    <w:rsid w:val="003344B3"/>
    <w:rsid w:val="0043350F"/>
    <w:rsid w:val="0043688D"/>
    <w:rsid w:val="004B5E09"/>
    <w:rsid w:val="00510B1C"/>
    <w:rsid w:val="005E3A71"/>
    <w:rsid w:val="0063074C"/>
    <w:rsid w:val="006B6B47"/>
    <w:rsid w:val="006C1366"/>
    <w:rsid w:val="007225E3"/>
    <w:rsid w:val="007E72E3"/>
    <w:rsid w:val="00830223"/>
    <w:rsid w:val="00890B79"/>
    <w:rsid w:val="008B4108"/>
    <w:rsid w:val="008E0D9C"/>
    <w:rsid w:val="008E42E1"/>
    <w:rsid w:val="00903D74"/>
    <w:rsid w:val="009409B0"/>
    <w:rsid w:val="009A5E40"/>
    <w:rsid w:val="009F04E2"/>
    <w:rsid w:val="00A07B0E"/>
    <w:rsid w:val="00AE5984"/>
    <w:rsid w:val="00B00214"/>
    <w:rsid w:val="00B10BD1"/>
    <w:rsid w:val="00B40C64"/>
    <w:rsid w:val="00B73F7B"/>
    <w:rsid w:val="00B95697"/>
    <w:rsid w:val="00BC3E8C"/>
    <w:rsid w:val="00BD097E"/>
    <w:rsid w:val="00C130B4"/>
    <w:rsid w:val="00C72C49"/>
    <w:rsid w:val="00CE7975"/>
    <w:rsid w:val="00DC389F"/>
    <w:rsid w:val="00E44494"/>
    <w:rsid w:val="00E451E0"/>
    <w:rsid w:val="00E46424"/>
    <w:rsid w:val="00EB3AC9"/>
    <w:rsid w:val="00F945AF"/>
    <w:rsid w:val="00FC1E6A"/>
    <w:rsid w:val="00FC2E7E"/>
    <w:rsid w:val="00FE67C7"/>
    <w:rsid w:val="1DF262D7"/>
    <w:rsid w:val="3197546D"/>
    <w:rsid w:val="36775407"/>
    <w:rsid w:val="390236AF"/>
    <w:rsid w:val="5B1F728F"/>
    <w:rsid w:val="5CB71465"/>
    <w:rsid w:val="67180834"/>
    <w:rsid w:val="7FDE88B5"/>
    <w:rsid w:val="8EFEB9A7"/>
    <w:rsid w:val="DF9FA598"/>
    <w:rsid w:val="FB337711"/>
    <w:rsid w:val="FF1B3E82"/>
    <w:rsid w:val="FF6FA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BC5ECC"/>
  <w15:docId w15:val="{3548CF2E-C202-4A66-9B96-5AFB1797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character" w:styleId="ac">
    <w:name w:val="Strong"/>
    <w:basedOn w:val="a0"/>
    <w:qFormat/>
    <w:rPr>
      <w:b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b">
    <w:name w:val="批注主题 字符"/>
    <w:basedOn w:val="a4"/>
    <w:link w:val="aa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596</Words>
  <Characters>609</Characters>
  <Application>Microsoft Office Word</Application>
  <DocSecurity>0</DocSecurity>
  <Lines>43</Lines>
  <Paragraphs>43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Mwashah</dc:creator>
  <cp:lastModifiedBy>yujie zhao</cp:lastModifiedBy>
  <cp:revision>27</cp:revision>
  <dcterms:created xsi:type="dcterms:W3CDTF">2026-01-26T18:15:00Z</dcterms:created>
  <dcterms:modified xsi:type="dcterms:W3CDTF">2026-01-27T09:46:00Z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2052-12.1.3.24702</vt:lpwstr>
  </property>
  <property fmtid="{D5CDD505-2E9C-101B-9397-08002B2CF9AE}" pid="3" name="ICV">
    <vt:lpwstr>F49EF15EDAB223E6F171786905CAA438_43</vt:lpwstr>
  </property>
  <property fmtid="{D5CDD505-2E9C-101B-9397-08002B2CF9AE}" pid="4" name="KSOTemplateDocerSaveRecord">
    <vt:lpwstr>eyJoZGlkIjoiNGY4ZjlmMGQ3MTJiYmRjZmMxMjc4ZmU1ZTVhZGUzNWYiLCJ1c2VySWQiOiIxMDAxMjg4MTcyIn0=</vt:lpwstr>
  </property>
</Properties>
</file>